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8741831" w:rsidR="00DC5180" w:rsidRPr="009D1483" w:rsidRDefault="00E73A82" w:rsidP="000A5A2B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  <w:lang w:eastAsia="ja-JP"/>
        </w:rPr>
      </w:pPr>
      <w:bookmarkStart w:id="0" w:name="_Hlk514061252"/>
      <w:r w:rsidRPr="009D1483">
        <w:rPr>
          <w:b/>
          <w:noProof/>
          <w:sz w:val="24"/>
        </w:rPr>
        <w:t>3</w:t>
      </w:r>
      <w:r w:rsidR="00DC5180" w:rsidRPr="009D1483">
        <w:rPr>
          <w:b/>
          <w:noProof/>
          <w:sz w:val="24"/>
        </w:rPr>
        <w:t>GPP TSG</w:t>
      </w:r>
      <w:r w:rsidR="00D81C65" w:rsidRPr="009D1483">
        <w:rPr>
          <w:b/>
          <w:noProof/>
          <w:sz w:val="24"/>
        </w:rPr>
        <w:t>-</w:t>
      </w:r>
      <w:r w:rsidR="00DC5180" w:rsidRPr="009D1483">
        <w:rPr>
          <w:b/>
          <w:noProof/>
          <w:sz w:val="24"/>
        </w:rPr>
        <w:t>RA</w:t>
      </w:r>
      <w:r w:rsidR="00CE1FA4" w:rsidRPr="009D1483">
        <w:rPr>
          <w:b/>
          <w:noProof/>
          <w:sz w:val="24"/>
        </w:rPr>
        <w:t>N</w:t>
      </w:r>
      <w:r w:rsidR="006C123A" w:rsidRPr="009D1483">
        <w:rPr>
          <w:b/>
          <w:noProof/>
          <w:sz w:val="24"/>
        </w:rPr>
        <w:t>4</w:t>
      </w:r>
      <w:r w:rsidR="0080320A" w:rsidRPr="009D1483">
        <w:rPr>
          <w:b/>
          <w:noProof/>
          <w:sz w:val="24"/>
        </w:rPr>
        <w:t xml:space="preserve"> </w:t>
      </w:r>
      <w:r w:rsidR="00DC5180" w:rsidRPr="009D1483">
        <w:rPr>
          <w:b/>
          <w:noProof/>
          <w:sz w:val="24"/>
        </w:rPr>
        <w:t>Meeting</w:t>
      </w:r>
      <w:r w:rsidR="007B605F" w:rsidRPr="009D1483">
        <w:rPr>
          <w:b/>
          <w:noProof/>
          <w:sz w:val="24"/>
        </w:rPr>
        <w:t xml:space="preserve"> #</w:t>
      </w:r>
      <w:bookmarkEnd w:id="0"/>
      <w:r w:rsidR="001614BB" w:rsidRPr="009D1483">
        <w:rPr>
          <w:b/>
          <w:noProof/>
          <w:sz w:val="24"/>
        </w:rPr>
        <w:t>10</w:t>
      </w:r>
      <w:r w:rsidR="00202181" w:rsidRPr="009D1483">
        <w:rPr>
          <w:b/>
          <w:noProof/>
          <w:sz w:val="24"/>
        </w:rPr>
        <w:t>4</w:t>
      </w:r>
      <w:r w:rsidR="006C123A" w:rsidRPr="009D1483">
        <w:rPr>
          <w:b/>
          <w:noProof/>
          <w:sz w:val="24"/>
        </w:rPr>
        <w:t>-e</w:t>
      </w:r>
      <w:r w:rsidR="00DC5180" w:rsidRPr="009D1483">
        <w:rPr>
          <w:b/>
          <w:noProof/>
          <w:sz w:val="24"/>
        </w:rPr>
        <w:tab/>
      </w:r>
      <w:r w:rsidR="00A36986" w:rsidRPr="009D1483">
        <w:rPr>
          <w:rFonts w:cs="Arial"/>
          <w:b/>
          <w:bCs/>
          <w:sz w:val="26"/>
          <w:szCs w:val="26"/>
        </w:rPr>
        <w:t>R4-2211981</w:t>
      </w:r>
    </w:p>
    <w:p w14:paraId="63C63B34" w14:textId="1E9A4170" w:rsidR="001512D7" w:rsidRPr="0010618D" w:rsidRDefault="00202181" w:rsidP="000A5A2B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635B6C56" w:rsidR="0010618D" w:rsidRPr="005E4466" w:rsidRDefault="000F7ECB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C3810">
        <w:rPr>
          <w:rFonts w:ascii="Arial" w:hAnsi="Arial" w:cs="Arial"/>
          <w:b/>
        </w:rPr>
        <w:t>BS</w:t>
      </w:r>
      <w:r w:rsidR="002815EC" w:rsidRPr="002815EC">
        <w:rPr>
          <w:rFonts w:ascii="Arial" w:hAnsi="Arial" w:cs="Arial"/>
          <w:b/>
        </w:rPr>
        <w:t xml:space="preserve"> requirements for 5G terrestrial broadcast</w:t>
      </w:r>
    </w:p>
    <w:p w14:paraId="3AA07729" w14:textId="77777777" w:rsidR="0010618D" w:rsidRPr="005E4466" w:rsidRDefault="0010618D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908425A" w14:textId="38937899" w:rsidR="002B09A1" w:rsidRPr="005E4466" w:rsidRDefault="002B09A1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A5A2B">
        <w:rPr>
          <w:rFonts w:ascii="Arial" w:hAnsi="Arial" w:cs="Arial"/>
          <w:b/>
        </w:rPr>
        <w:t>Cellnex Telecom</w:t>
      </w:r>
    </w:p>
    <w:p w14:paraId="0CE6441A" w14:textId="77777777" w:rsidR="0010618D" w:rsidRPr="005E4466" w:rsidRDefault="0010618D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8CF3EE8" w14:textId="419DDEEE" w:rsidR="00414CE5" w:rsidRDefault="0010618D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A366C">
        <w:rPr>
          <w:rFonts w:ascii="Arial" w:hAnsi="Arial" w:cs="Arial"/>
          <w:b/>
        </w:rPr>
        <w:t>12.4.</w:t>
      </w:r>
      <w:r w:rsidR="00B97182">
        <w:rPr>
          <w:rFonts w:ascii="Arial" w:hAnsi="Arial" w:cs="Arial"/>
          <w:b/>
        </w:rPr>
        <w:t>1</w:t>
      </w:r>
    </w:p>
    <w:p w14:paraId="41AD4397" w14:textId="460C7D48" w:rsidR="0010618D" w:rsidRDefault="0010618D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682F116A" w14:textId="6811E1C7" w:rsidR="00E66463" w:rsidRDefault="00E66463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420BF9" w:rsidRPr="00420BF9">
        <w:rPr>
          <w:rFonts w:ascii="Arial" w:hAnsi="Arial" w:cs="Arial"/>
          <w:b/>
        </w:rPr>
        <w:t>LTE_terr_bcast_bands_part2-Core</w:t>
      </w:r>
    </w:p>
    <w:p w14:paraId="3EDAE914" w14:textId="405B8E9F" w:rsidR="00E66463" w:rsidRPr="005E4466" w:rsidRDefault="00E66463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46C4EC30" w14:textId="43BC0B02" w:rsidR="00222D66" w:rsidRPr="005E4466" w:rsidRDefault="00222D66" w:rsidP="000A5A2B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A5A2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1A1430C" w14:textId="77777777" w:rsidR="0045428D" w:rsidRDefault="000A567D" w:rsidP="000A5A2B">
      <w:pPr>
        <w:pStyle w:val="Ttulo1"/>
        <w:jc w:val="both"/>
      </w:pPr>
      <w:r>
        <w:t>1.</w:t>
      </w:r>
      <w:r>
        <w:tab/>
      </w:r>
      <w:r w:rsidR="002A1C01">
        <w:t>Introduction</w:t>
      </w:r>
    </w:p>
    <w:p w14:paraId="4DCAD622" w14:textId="639C42CF" w:rsidR="004D43BF" w:rsidRDefault="008511D4" w:rsidP="000A5A2B">
      <w:pPr>
        <w:jc w:val="both"/>
      </w:pPr>
      <w:r>
        <w:t xml:space="preserve">New </w:t>
      </w:r>
      <w:r w:rsidR="004D43BF">
        <w:t>RAN</w:t>
      </w:r>
      <w:r w:rsidR="00FE5280">
        <w:t>4</w:t>
      </w:r>
      <w:r w:rsidR="004D43BF">
        <w:t xml:space="preserve"> lead </w:t>
      </w:r>
      <w:r>
        <w:t>WI</w:t>
      </w:r>
      <w:r w:rsidR="000F2985">
        <w:t xml:space="preserve"> [1] </w:t>
      </w:r>
      <w:r>
        <w:t xml:space="preserve">was approved with </w:t>
      </w:r>
      <w:r w:rsidR="004D43BF">
        <w:t xml:space="preserve">the </w:t>
      </w:r>
      <w:r w:rsidR="002E7D7C">
        <w:t>BS</w:t>
      </w:r>
      <w:r w:rsidR="00FE5280">
        <w:t xml:space="preserve"> RF </w:t>
      </w:r>
      <w:r w:rsidR="004D43BF">
        <w:t>objective as follows:</w:t>
      </w:r>
    </w:p>
    <w:p w14:paraId="4F566EC8" w14:textId="77777777" w:rsidR="002E7D7C" w:rsidRDefault="002E7D7C" w:rsidP="000A5A2B">
      <w:pPr>
        <w:spacing w:after="0"/>
        <w:jc w:val="both"/>
        <w:rPr>
          <w:bCs/>
          <w:lang w:val="en-US"/>
        </w:rPr>
      </w:pPr>
    </w:p>
    <w:p w14:paraId="41E4C832" w14:textId="77777777" w:rsidR="002E7D7C" w:rsidRDefault="002E7D7C" w:rsidP="000A5A2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>
        <w:rPr>
          <w:bCs/>
          <w:lang w:val="en-US"/>
        </w:rPr>
        <w:t>For MBMS-dedicated cells:</w:t>
      </w:r>
    </w:p>
    <w:p w14:paraId="00E10254" w14:textId="77777777" w:rsidR="002E7D7C" w:rsidRDefault="002E7D7C" w:rsidP="000A5A2B">
      <w:pPr>
        <w:spacing w:after="0"/>
        <w:ind w:left="720"/>
        <w:jc w:val="both"/>
        <w:rPr>
          <w:bCs/>
          <w:lang w:val="en-US"/>
        </w:rPr>
      </w:pPr>
    </w:p>
    <w:p w14:paraId="53231406" w14:textId="7C58A373" w:rsidR="002E7D7C" w:rsidRDefault="002E7D7C" w:rsidP="000A5A2B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>
        <w:rPr>
          <w:bCs/>
          <w:lang w:val="en-US"/>
        </w:rPr>
        <w:t>Specify band(s), within the portion of UHF spectrum allocated to broadcast systems (~470 - ~694/698 MHz, depending on the region), that support the channelization available to broadcasting operators</w:t>
      </w:r>
      <w:r w:rsidR="00212D34">
        <w:rPr>
          <w:bCs/>
          <w:lang w:val="en-US"/>
        </w:rPr>
        <w:t xml:space="preserve"> </w:t>
      </w:r>
      <w:r>
        <w:rPr>
          <w:bCs/>
          <w:lang w:val="en-US"/>
        </w:rPr>
        <w:t>[RAN4].</w:t>
      </w:r>
    </w:p>
    <w:p w14:paraId="03C41D46" w14:textId="20C7D9F8" w:rsidR="002E7D7C" w:rsidRDefault="002E7D7C" w:rsidP="000A5A2B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>
        <w:rPr>
          <w:bCs/>
          <w:lang w:val="en-US"/>
        </w:rPr>
        <w:t>RAN4 to define the exact band plan suitable for broadcasting operators’ spectrum allocation</w:t>
      </w:r>
    </w:p>
    <w:p w14:paraId="15A3C55F" w14:textId="2E01B3C5" w:rsidR="002E7D7C" w:rsidRDefault="002E7D7C" w:rsidP="000A5A2B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>
        <w:rPr>
          <w:bCs/>
          <w:lang w:val="en-US"/>
        </w:rPr>
        <w:t>RAN4 to define REFSENS for this band(s)</w:t>
      </w:r>
    </w:p>
    <w:p w14:paraId="46D7972B" w14:textId="77777777" w:rsidR="002E7D7C" w:rsidRDefault="002E7D7C" w:rsidP="009D1483">
      <w:pPr>
        <w:spacing w:after="0"/>
        <w:jc w:val="both"/>
        <w:rPr>
          <w:bCs/>
          <w:lang w:val="en-US"/>
        </w:rPr>
      </w:pPr>
    </w:p>
    <w:p w14:paraId="57CF154D" w14:textId="77777777" w:rsidR="002E7D7C" w:rsidRDefault="002E7D7C" w:rsidP="000A5A2B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>
        <w:rPr>
          <w:lang w:val="en-US"/>
        </w:rPr>
        <w:t>For BS the requirements for signal quality, occupied bandwidth, ACLR, unwanted emissions shall be applied as provided by the corresponding regulatory bodies in the different regions for 6/7/8 MHz, as applicable. The specifications shall contain corresponding references [RAN4].</w:t>
      </w:r>
    </w:p>
    <w:p w14:paraId="3E710C28" w14:textId="77777777" w:rsidR="002E7D7C" w:rsidRDefault="002E7D7C" w:rsidP="000A5A2B">
      <w:pPr>
        <w:spacing w:after="0"/>
        <w:jc w:val="both"/>
        <w:rPr>
          <w:bCs/>
          <w:lang w:val="en-US"/>
        </w:rPr>
      </w:pPr>
    </w:p>
    <w:p w14:paraId="11EC2490" w14:textId="10B0BEE2" w:rsidR="002E7D7C" w:rsidRDefault="002E7D7C" w:rsidP="000A5A2B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>
        <w:rPr>
          <w:bCs/>
          <w:lang w:val="en-US"/>
        </w:rPr>
        <w:t>…</w:t>
      </w:r>
    </w:p>
    <w:p w14:paraId="76C70FB1" w14:textId="3FF05508" w:rsidR="002E7D7C" w:rsidRDefault="002E7D7C" w:rsidP="000A5A2B">
      <w:pPr>
        <w:spacing w:after="0"/>
        <w:ind w:left="1800"/>
        <w:jc w:val="both"/>
        <w:rPr>
          <w:bCs/>
          <w:lang w:val="en-US"/>
        </w:rPr>
      </w:pPr>
    </w:p>
    <w:p w14:paraId="4DB1F502" w14:textId="77777777" w:rsidR="002E7D7C" w:rsidRDefault="002E7D7C" w:rsidP="000A5A2B">
      <w:pPr>
        <w:spacing w:after="0"/>
        <w:jc w:val="both"/>
        <w:rPr>
          <w:bCs/>
          <w:lang w:val="en-US"/>
        </w:rPr>
      </w:pPr>
    </w:p>
    <w:p w14:paraId="3F11235F" w14:textId="276A24BD" w:rsidR="002E7D7C" w:rsidRDefault="002E7D7C" w:rsidP="000A5A2B">
      <w:pPr>
        <w:ind w:left="720"/>
        <w:jc w:val="both"/>
        <w:rPr>
          <w:iCs/>
        </w:rPr>
      </w:pPr>
      <w:r>
        <w:rPr>
          <w:iCs/>
        </w:rPr>
        <w:t>NOTE 1:</w:t>
      </w:r>
      <w:r>
        <w:rPr>
          <w:iCs/>
        </w:rPr>
        <w:tab/>
        <w:t>This work item shall not affect any functionality of unicast LTE, it targets only MBMS-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dedicated cells.</w:t>
      </w:r>
    </w:p>
    <w:p w14:paraId="0F86BE98" w14:textId="77777777" w:rsidR="002E7D7C" w:rsidRDefault="002E7D7C" w:rsidP="000A5A2B">
      <w:pPr>
        <w:ind w:left="720"/>
        <w:jc w:val="both"/>
        <w:rPr>
          <w:iCs/>
        </w:rPr>
      </w:pPr>
      <w:r>
        <w:rPr>
          <w:iCs/>
        </w:rPr>
        <w:t xml:space="preserve">NOTE 2: </w:t>
      </w:r>
      <w:r>
        <w:rPr>
          <w:iCs/>
        </w:rPr>
        <w:tab/>
      </w:r>
      <w:r>
        <w:rPr>
          <w:bCs/>
          <w:lang w:val="en-US"/>
        </w:rPr>
        <w:t xml:space="preserve">RAN4 shall assume that coexistence among different systems in the portion of the UHF band </w:t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allocated to broadcast (~470 - ~694/698 MHz) is ensured through coordination, in line with </w:t>
      </w:r>
      <w:r>
        <w:rPr>
          <w:bCs/>
          <w:lang w:val="en-US"/>
        </w:rPr>
        <w:tab/>
      </w:r>
      <w:r>
        <w:rPr>
          <w:bCs/>
          <w:lang w:val="en-US"/>
        </w:rPr>
        <w:tab/>
        <w:t>regional and national regulation.</w:t>
      </w:r>
    </w:p>
    <w:p w14:paraId="295FA587" w14:textId="77777777" w:rsidR="00156C9F" w:rsidRDefault="00156C9F" w:rsidP="000A5A2B">
      <w:pPr>
        <w:jc w:val="both"/>
      </w:pPr>
    </w:p>
    <w:p w14:paraId="17FDD1F3" w14:textId="360004A1" w:rsidR="003A6C9D" w:rsidRDefault="008F4B69" w:rsidP="000A5A2B">
      <w:pPr>
        <w:jc w:val="both"/>
      </w:pPr>
      <w:r>
        <w:t>WID [1] has other objectives</w:t>
      </w:r>
      <w:r w:rsidR="00106376">
        <w:t xml:space="preserve"> for</w:t>
      </w:r>
      <w:r w:rsidR="002E7D7C">
        <w:t xml:space="preserve"> UE RF requirements</w:t>
      </w:r>
      <w:r w:rsidR="003A6C9D">
        <w:t>,</w:t>
      </w:r>
      <w:r>
        <w:t xml:space="preserve"> </w:t>
      </w:r>
      <w:r w:rsidR="004B5971">
        <w:t xml:space="preserve">but </w:t>
      </w:r>
      <w:r w:rsidR="000551C4">
        <w:t xml:space="preserve">this </w:t>
      </w:r>
      <w:r w:rsidR="002E7D7C">
        <w:t>document only addresses band definition and BS requirements.</w:t>
      </w:r>
      <w:r w:rsidR="00C064DE">
        <w:t xml:space="preserve"> </w:t>
      </w:r>
    </w:p>
    <w:p w14:paraId="46AA84AA" w14:textId="18FC094F" w:rsidR="00FC1F62" w:rsidRDefault="000A567D" w:rsidP="000A5A2B">
      <w:pPr>
        <w:pStyle w:val="Ttulo1"/>
        <w:jc w:val="both"/>
      </w:pPr>
      <w:r>
        <w:t xml:space="preserve">2. </w:t>
      </w:r>
      <w:r>
        <w:tab/>
      </w:r>
      <w:r w:rsidR="002A1C01">
        <w:t>Discussion</w:t>
      </w:r>
    </w:p>
    <w:p w14:paraId="36080644" w14:textId="67306DC9" w:rsidR="000A5A2B" w:rsidRPr="000A5A2B" w:rsidRDefault="000A5A2B" w:rsidP="000A5A2B">
      <w:pPr>
        <w:pStyle w:val="NormalWeb"/>
        <w:shd w:val="clear" w:color="auto" w:fill="FFFFFF"/>
        <w:spacing w:before="0" w:beforeAutospacing="0"/>
        <w:jc w:val="both"/>
        <w:rPr>
          <w:sz w:val="20"/>
          <w:szCs w:val="20"/>
          <w:lang w:val="en-GB" w:eastAsia="ko-KR"/>
        </w:rPr>
      </w:pPr>
      <w:r w:rsidRPr="000A5A2B">
        <w:rPr>
          <w:sz w:val="20"/>
          <w:szCs w:val="20"/>
          <w:lang w:val="en-GB" w:eastAsia="ko-KR"/>
        </w:rPr>
        <w:t>Cellnex Telecom is the Europe’s leading operator of wireless telecommunications infrastructures to empower connectivity for people and territories, driving digitalisation in Europe</w:t>
      </w:r>
      <w:r>
        <w:rPr>
          <w:sz w:val="20"/>
          <w:szCs w:val="20"/>
          <w:lang w:val="en-GB" w:eastAsia="ko-KR"/>
        </w:rPr>
        <w:t xml:space="preserve">. Cellnex </w:t>
      </w:r>
      <w:r w:rsidRPr="000A5A2B">
        <w:rPr>
          <w:sz w:val="20"/>
          <w:szCs w:val="20"/>
          <w:lang w:val="en-GB" w:eastAsia="ko-KR"/>
        </w:rPr>
        <w:t xml:space="preserve">main offices </w:t>
      </w:r>
      <w:r>
        <w:rPr>
          <w:sz w:val="20"/>
          <w:szCs w:val="20"/>
          <w:lang w:val="en-GB" w:eastAsia="ko-KR"/>
        </w:rPr>
        <w:t xml:space="preserve">are in </w:t>
      </w:r>
      <w:r w:rsidRPr="000A5A2B">
        <w:rPr>
          <w:sz w:val="20"/>
          <w:szCs w:val="20"/>
          <w:lang w:val="en-GB" w:eastAsia="ko-KR"/>
        </w:rPr>
        <w:t>Spain</w:t>
      </w:r>
      <w:r>
        <w:rPr>
          <w:sz w:val="20"/>
          <w:szCs w:val="20"/>
          <w:lang w:val="en-GB" w:eastAsia="ko-KR"/>
        </w:rPr>
        <w:t xml:space="preserve"> but the company </w:t>
      </w:r>
      <w:r w:rsidRPr="000A5A2B">
        <w:rPr>
          <w:sz w:val="20"/>
          <w:szCs w:val="20"/>
          <w:lang w:val="en-GB" w:eastAsia="ko-KR"/>
        </w:rPr>
        <w:t>operate in a total of 12 European countries with the goal of creating a pan-European telecommunications infrastructure platform.</w:t>
      </w:r>
    </w:p>
    <w:p w14:paraId="6CE51E17" w14:textId="101725AC" w:rsidR="000A5A2B" w:rsidRPr="000A5A2B" w:rsidRDefault="000A5A2B" w:rsidP="000A5A2B">
      <w:pPr>
        <w:pStyle w:val="NormalWeb"/>
        <w:shd w:val="clear" w:color="auto" w:fill="FFFFFF"/>
        <w:spacing w:before="0" w:beforeAutospacing="0"/>
        <w:jc w:val="both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 xml:space="preserve">Cellnex </w:t>
      </w:r>
      <w:r w:rsidRPr="000A5A2B">
        <w:rPr>
          <w:sz w:val="20"/>
          <w:szCs w:val="20"/>
          <w:lang w:val="en-GB" w:eastAsia="ko-KR"/>
        </w:rPr>
        <w:t>offer</w:t>
      </w:r>
      <w:r>
        <w:rPr>
          <w:sz w:val="20"/>
          <w:szCs w:val="20"/>
          <w:lang w:val="en-GB" w:eastAsia="ko-KR"/>
        </w:rPr>
        <w:t xml:space="preserve">s to </w:t>
      </w:r>
      <w:r w:rsidRPr="000A5A2B">
        <w:rPr>
          <w:sz w:val="20"/>
          <w:szCs w:val="20"/>
          <w:lang w:val="en-GB" w:eastAsia="ko-KR"/>
        </w:rPr>
        <w:t>our customers a suite of</w:t>
      </w:r>
      <w:r>
        <w:rPr>
          <w:sz w:val="20"/>
          <w:szCs w:val="20"/>
          <w:lang w:val="en-GB" w:eastAsia="ko-KR"/>
        </w:rPr>
        <w:t xml:space="preserve"> </w:t>
      </w:r>
      <w:hyperlink r:id="rId11" w:tgtFrame="_blank" w:history="1">
        <w:r w:rsidRPr="000A5A2B">
          <w:rPr>
            <w:sz w:val="20"/>
            <w:szCs w:val="20"/>
            <w:lang w:val="en-GB" w:eastAsia="ko-KR"/>
          </w:rPr>
          <w:t>solutions</w:t>
        </w:r>
      </w:hyperlink>
      <w:r>
        <w:rPr>
          <w:sz w:val="20"/>
          <w:szCs w:val="20"/>
          <w:lang w:val="en-GB" w:eastAsia="ko-KR"/>
        </w:rPr>
        <w:t xml:space="preserve"> </w:t>
      </w:r>
      <w:r w:rsidRPr="000A5A2B">
        <w:rPr>
          <w:sz w:val="20"/>
          <w:szCs w:val="20"/>
          <w:lang w:val="en-GB" w:eastAsia="ko-KR"/>
        </w:rPr>
        <w:t>and</w:t>
      </w:r>
      <w:r>
        <w:rPr>
          <w:sz w:val="20"/>
          <w:szCs w:val="20"/>
          <w:lang w:val="en-GB" w:eastAsia="ko-KR"/>
        </w:rPr>
        <w:t xml:space="preserve"> </w:t>
      </w:r>
      <w:hyperlink r:id="rId12" w:tgtFrame="_blank" w:history="1">
        <w:r w:rsidRPr="000A5A2B">
          <w:rPr>
            <w:sz w:val="20"/>
            <w:szCs w:val="20"/>
            <w:lang w:val="en-GB" w:eastAsia="ko-KR"/>
          </w:rPr>
          <w:t>technologies</w:t>
        </w:r>
      </w:hyperlink>
      <w:r>
        <w:rPr>
          <w:sz w:val="20"/>
          <w:szCs w:val="20"/>
          <w:lang w:val="en-GB" w:eastAsia="ko-KR"/>
        </w:rPr>
        <w:t xml:space="preserve"> </w:t>
      </w:r>
      <w:r w:rsidRPr="000A5A2B">
        <w:rPr>
          <w:sz w:val="20"/>
          <w:szCs w:val="20"/>
          <w:lang w:val="en-GB" w:eastAsia="ko-KR"/>
        </w:rPr>
        <w:t>designed to ensure the conditions for reliable top-quality transmission for the wireless dissemination of voice, data and audiovisual content.</w:t>
      </w:r>
    </w:p>
    <w:p w14:paraId="50C827CC" w14:textId="60186A7E" w:rsidR="009C3810" w:rsidRDefault="000A5A2B" w:rsidP="000A5A2B">
      <w:pPr>
        <w:jc w:val="both"/>
      </w:pPr>
      <w:r>
        <w:lastRenderedPageBreak/>
        <w:t xml:space="preserve">Cellnex Telecom </w:t>
      </w:r>
      <w:r w:rsidR="009C3810">
        <w:t xml:space="preserve">has been contributing to the specification of LTE based 5G Terrestrial Broadcasting (in brief 5G Broadcast) from the very first days of the </w:t>
      </w:r>
      <w:proofErr w:type="spellStart"/>
      <w:r w:rsidR="009C3810">
        <w:t>EnTV</w:t>
      </w:r>
      <w:proofErr w:type="spellEnd"/>
      <w:r w:rsidR="009C3810">
        <w:t xml:space="preserve"> study item in 2015. </w:t>
      </w:r>
    </w:p>
    <w:p w14:paraId="74C52CA8" w14:textId="48371CB6" w:rsidR="009C3810" w:rsidRDefault="009C3810" w:rsidP="000A5A2B">
      <w:pPr>
        <w:jc w:val="both"/>
      </w:pPr>
      <w:r>
        <w:t xml:space="preserve">5G Broadcast is considered a compelling option throughout the world for the delivery of linear media services to mobile devices and vehicles. Spectrum in the UHF band can be used to operate </w:t>
      </w:r>
      <w:r w:rsidR="002D2D80">
        <w:t xml:space="preserve">5G Broadcast networks </w:t>
      </w:r>
      <w:r>
        <w:t>using existing HPHT  broadcast network infrastructure. For the first time a truly global broadcasting standard is in reach.</w:t>
      </w:r>
    </w:p>
    <w:p w14:paraId="05554644" w14:textId="27E5D1EB" w:rsidR="00C06330" w:rsidRDefault="00C06330" w:rsidP="000A5A2B">
      <w:pPr>
        <w:jc w:val="both"/>
      </w:pPr>
      <w:r>
        <w:t xml:space="preserve">5G Broadcast is considered a </w:t>
      </w:r>
      <w:r w:rsidR="00A236E4">
        <w:t>genuine</w:t>
      </w:r>
      <w:r>
        <w:t xml:space="preserve"> broadcast system in the sense of if offers an independent downlink capability, meaning a downlink-only network can be deployed which does not need any uplink capabilities. As this is a new concept in 3GPP a new band</w:t>
      </w:r>
      <w:r w:rsidR="00FC1F0E">
        <w:t xml:space="preserve"> </w:t>
      </w:r>
      <w:r>
        <w:t>type needs to be defined.</w:t>
      </w:r>
    </w:p>
    <w:p w14:paraId="4EBF9676" w14:textId="4A765CFA" w:rsidR="00C06330" w:rsidRDefault="00C06330" w:rsidP="000A5A2B">
      <w:pPr>
        <w:jc w:val="both"/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1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define a new band type for </w:t>
      </w:r>
      <w:r w:rsidR="00FC1F0E">
        <w:rPr>
          <w:b/>
          <w:bCs/>
        </w:rPr>
        <w:t xml:space="preserve">independent </w:t>
      </w:r>
      <w:r>
        <w:rPr>
          <w:b/>
          <w:bCs/>
        </w:rPr>
        <w:t>downlink-only transmissions.</w:t>
      </w:r>
    </w:p>
    <w:p w14:paraId="2FD0759D" w14:textId="72742ADD" w:rsidR="002D2D80" w:rsidRDefault="009C3810" w:rsidP="000A5A2B">
      <w:pPr>
        <w:jc w:val="both"/>
      </w:pPr>
      <w:r>
        <w:t>The band 470- 694/698 MHz is allocated to the broadcasting service at ITU-R in all three ITU Regions on a primary basis. Usage of this band is subject to general ITU-R rules applicable for the broadcasting service and corresponding regulatory frameworks for the different Regions such as the GE06 Agreement for Region 1</w:t>
      </w:r>
      <w:r w:rsidR="001D53AE">
        <w:t xml:space="preserve"> [</w:t>
      </w:r>
      <w:r w:rsidR="00417727">
        <w:t>5</w:t>
      </w:r>
      <w:r w:rsidR="001D53AE">
        <w:t>]</w:t>
      </w:r>
      <w:r>
        <w:t xml:space="preserve">. Depending on the ITU Region </w:t>
      </w:r>
      <w:r w:rsidR="00212D34">
        <w:t xml:space="preserve">broadcasting services </w:t>
      </w:r>
      <w:r>
        <w:t xml:space="preserve">are using a 6, 7 </w:t>
      </w:r>
      <w:r w:rsidR="00D64A6D">
        <w:t xml:space="preserve">or </w:t>
      </w:r>
      <w:r>
        <w:t xml:space="preserve">8 MHz </w:t>
      </w:r>
      <w:r w:rsidR="00D64A6D">
        <w:t>carrier bandwidth</w:t>
      </w:r>
      <w:r>
        <w:t xml:space="preserve">. </w:t>
      </w:r>
      <w:r w:rsidR="002D2D80">
        <w:t xml:space="preserve">The used carrier bandwidth determines the upper limit of the UHF band allocated to the broadcast service. For 7 and 8 MHz bandwidth 32 and 28 channels can be used in the band 470 – 694 MHz, respectively. For 6 MHz bandwidth 38 channels can be accommodated between 470 – 698 </w:t>
      </w:r>
      <w:proofErr w:type="spellStart"/>
      <w:r w:rsidR="002D2D80">
        <w:t>MHz.</w:t>
      </w:r>
      <w:proofErr w:type="spellEnd"/>
      <w:r w:rsidR="002D2D80">
        <w:t xml:space="preserve"> </w:t>
      </w:r>
    </w:p>
    <w:p w14:paraId="156192E3" w14:textId="2EB9927F" w:rsidR="00D64A6D" w:rsidRDefault="00D64A6D" w:rsidP="000A5A2B">
      <w:pPr>
        <w:jc w:val="both"/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2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define a band for LTE based 5G Terrestrial Broadcast covering the spectrum range </w:t>
      </w:r>
      <w:r>
        <w:rPr>
          <w:b/>
          <w:bCs/>
        </w:rPr>
        <w:tab/>
      </w:r>
      <w:r>
        <w:rPr>
          <w:b/>
          <w:bCs/>
        </w:rPr>
        <w:tab/>
        <w:t>470 – 698 MHz to be used in terms of 6, 7 or 8 MHz carrier bandwidth.</w:t>
      </w:r>
    </w:p>
    <w:p w14:paraId="6F1A9CC7" w14:textId="0BC7E8C7" w:rsidR="008A4BA1" w:rsidRDefault="009C3810" w:rsidP="000A5A2B">
      <w:pPr>
        <w:jc w:val="both"/>
      </w:pPr>
      <w:r>
        <w:t>Bringing into operation stations of the broadcasting services is governed by the respective rules and sharing / compatibility criteria of the regional regulatory arrangements and coordination between affected administrations.</w:t>
      </w:r>
      <w:r w:rsidR="00417727">
        <w:t xml:space="preserve"> </w:t>
      </w:r>
    </w:p>
    <w:p w14:paraId="32E24443" w14:textId="7A2BBEC6" w:rsidR="006A510F" w:rsidRDefault="00C45E7F" w:rsidP="000A5A2B">
      <w:pPr>
        <w:jc w:val="both"/>
      </w:pPr>
      <w:r>
        <w:t>Deployment of 5G Broadcast networks will be done alongside existing DTT transmission</w:t>
      </w:r>
      <w:r w:rsidR="00F51227">
        <w:t>s</w:t>
      </w:r>
      <w:r>
        <w:t xml:space="preserve">. Compatibility from a technical perspective can be achieved by employing the parameters contained in </w:t>
      </w:r>
      <w:r w:rsidR="00D64A6D">
        <w:t>in corresponding documents on which regulatory frameworks and negotiations are based</w:t>
      </w:r>
      <w:r w:rsidR="006A510F">
        <w:t xml:space="preserve"> in different ITU Regions. </w:t>
      </w:r>
    </w:p>
    <w:p w14:paraId="13FD2ED3" w14:textId="2FEA735A" w:rsidR="006E2161" w:rsidRPr="006A510F" w:rsidRDefault="006A510F" w:rsidP="000A5A2B">
      <w:pPr>
        <w:numPr>
          <w:ilvl w:val="0"/>
          <w:numId w:val="14"/>
        </w:numPr>
        <w:jc w:val="both"/>
      </w:pPr>
      <w:r>
        <w:t xml:space="preserve">In ITU Region </w:t>
      </w:r>
      <w:r w:rsidR="00D04B50">
        <w:t xml:space="preserve">1 </w:t>
      </w:r>
      <w:r>
        <w:t>operation of transmitters of the broadcasting service are governed by the Technical Annexes of the GE06 Agreement [</w:t>
      </w:r>
      <w:r w:rsidR="008E05BF">
        <w:t>3</w:t>
      </w:r>
      <w:r>
        <w:t xml:space="preserve">] and </w:t>
      </w:r>
      <w:r w:rsidR="00C45E7F">
        <w:t xml:space="preserve">ETSI specification </w:t>
      </w:r>
      <w:r w:rsidR="00C45E7F">
        <w:rPr>
          <w:lang w:val="en-US"/>
        </w:rPr>
        <w:t>ETSI EN 302 296</w:t>
      </w:r>
      <w:r>
        <w:rPr>
          <w:lang w:val="en-US"/>
        </w:rPr>
        <w:t xml:space="preserve"> [</w:t>
      </w:r>
      <w:r w:rsidR="008E05BF">
        <w:rPr>
          <w:lang w:val="en-US"/>
        </w:rPr>
        <w:t>4</w:t>
      </w:r>
      <w:r>
        <w:rPr>
          <w:lang w:val="en-US"/>
        </w:rPr>
        <w:t>]</w:t>
      </w:r>
      <w:r w:rsidR="00C45E7F">
        <w:rPr>
          <w:lang w:val="en-US"/>
        </w:rPr>
        <w:t xml:space="preserve">. </w:t>
      </w:r>
    </w:p>
    <w:p w14:paraId="30793DA5" w14:textId="1D1C5D48" w:rsidR="00CB63D4" w:rsidRPr="00CB63D4" w:rsidRDefault="006A510F" w:rsidP="000A5A2B">
      <w:pPr>
        <w:numPr>
          <w:ilvl w:val="0"/>
          <w:numId w:val="14"/>
        </w:numPr>
        <w:jc w:val="both"/>
      </w:pPr>
      <w:r>
        <w:rPr>
          <w:lang w:val="en-US"/>
        </w:rPr>
        <w:t xml:space="preserve">In ITU Region 2, the relevant documents are </w:t>
      </w:r>
      <w:r w:rsidR="00CB63D4">
        <w:rPr>
          <w:lang w:val="en-US"/>
        </w:rPr>
        <w:t xml:space="preserve">offered </w:t>
      </w:r>
      <w:r>
        <w:rPr>
          <w:lang w:val="en-US"/>
        </w:rPr>
        <w:t>by corresponding national regu</w:t>
      </w:r>
      <w:r w:rsidR="00CB63D4">
        <w:rPr>
          <w:lang w:val="en-US"/>
        </w:rPr>
        <w:t>lators such as</w:t>
      </w:r>
      <w:r w:rsidR="00F93CE6">
        <w:rPr>
          <w:lang w:val="en-US"/>
        </w:rPr>
        <w:t>,</w:t>
      </w:r>
      <w:r w:rsidR="00CB63D4">
        <w:rPr>
          <w:lang w:val="en-US"/>
        </w:rPr>
        <w:t xml:space="preserve"> for example </w:t>
      </w:r>
      <w:r>
        <w:rPr>
          <w:lang w:val="en-US"/>
        </w:rPr>
        <w:t xml:space="preserve">FCC </w:t>
      </w:r>
      <w:r w:rsidR="00CB63D4">
        <w:rPr>
          <w:lang w:val="en-US"/>
        </w:rPr>
        <w:t>in the US [</w:t>
      </w:r>
      <w:r w:rsidR="008E05BF">
        <w:rPr>
          <w:lang w:val="en-US"/>
        </w:rPr>
        <w:t>5</w:t>
      </w:r>
      <w:r w:rsidR="00CB63D4">
        <w:rPr>
          <w:lang w:val="en-US"/>
        </w:rPr>
        <w:t xml:space="preserve">] </w:t>
      </w:r>
      <w:r>
        <w:rPr>
          <w:lang w:val="en-US"/>
        </w:rPr>
        <w:t xml:space="preserve">and </w:t>
      </w:r>
      <w:proofErr w:type="spellStart"/>
      <w:r>
        <w:rPr>
          <w:lang w:val="en-US"/>
        </w:rPr>
        <w:t>Ana</w:t>
      </w:r>
      <w:r w:rsidR="00CB63D4">
        <w:rPr>
          <w:lang w:val="en-US"/>
        </w:rPr>
        <w:t>tel</w:t>
      </w:r>
      <w:proofErr w:type="spellEnd"/>
      <w:r w:rsidR="00CB63D4">
        <w:rPr>
          <w:lang w:val="en-US"/>
        </w:rPr>
        <w:t xml:space="preserve"> in Brazil [</w:t>
      </w:r>
      <w:r w:rsidR="008E05BF">
        <w:rPr>
          <w:lang w:val="en-US"/>
        </w:rPr>
        <w:t>6</w:t>
      </w:r>
      <w:r w:rsidR="00CB63D4">
        <w:rPr>
          <w:lang w:val="en-US"/>
        </w:rPr>
        <w:t>].</w:t>
      </w:r>
    </w:p>
    <w:p w14:paraId="459AA4FA" w14:textId="21798060" w:rsidR="006A510F" w:rsidRPr="00CB63D4" w:rsidRDefault="00CB63D4" w:rsidP="000A5A2B">
      <w:pPr>
        <w:numPr>
          <w:ilvl w:val="0"/>
          <w:numId w:val="14"/>
        </w:numPr>
        <w:jc w:val="both"/>
      </w:pPr>
      <w:r>
        <w:rPr>
          <w:lang w:val="en-US"/>
        </w:rPr>
        <w:t>In ITU Region 3 also national regulation is applied in coordination and negotiation between affected administrations, such as [</w:t>
      </w:r>
      <w:r w:rsidR="008E05BF">
        <w:rPr>
          <w:lang w:val="en-US"/>
        </w:rPr>
        <w:t>7</w:t>
      </w:r>
      <w:r>
        <w:rPr>
          <w:lang w:val="en-US"/>
        </w:rPr>
        <w:t>] in China.</w:t>
      </w:r>
      <w:r w:rsidR="006A510F">
        <w:rPr>
          <w:lang w:val="en-US"/>
        </w:rPr>
        <w:t xml:space="preserve">   </w:t>
      </w:r>
    </w:p>
    <w:p w14:paraId="04233823" w14:textId="1BBB694A" w:rsidR="00CB63D4" w:rsidRDefault="00CB63D4" w:rsidP="000A5A2B">
      <w:pPr>
        <w:jc w:val="both"/>
      </w:pPr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3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</w:t>
      </w:r>
      <w:r w:rsidR="0091202B">
        <w:rPr>
          <w:b/>
          <w:bCs/>
        </w:rPr>
        <w:t xml:space="preserve">to re-use </w:t>
      </w:r>
      <w:r w:rsidR="0000121D">
        <w:rPr>
          <w:b/>
          <w:bCs/>
        </w:rPr>
        <w:t xml:space="preserve">BS </w:t>
      </w:r>
      <w:r w:rsidR="0091202B">
        <w:rPr>
          <w:b/>
          <w:bCs/>
        </w:rPr>
        <w:t xml:space="preserve">requirements as provided in existing regulatory agreements </w:t>
      </w:r>
      <w:r w:rsidR="00F93CE6">
        <w:rPr>
          <w:b/>
          <w:bCs/>
        </w:rPr>
        <w:tab/>
      </w:r>
      <w:r w:rsidR="00F93CE6">
        <w:rPr>
          <w:b/>
          <w:bCs/>
        </w:rPr>
        <w:tab/>
      </w:r>
      <w:r w:rsidR="0000121D">
        <w:rPr>
          <w:b/>
          <w:bCs/>
        </w:rPr>
        <w:tab/>
      </w:r>
      <w:r w:rsidR="0000121D">
        <w:rPr>
          <w:b/>
          <w:bCs/>
        </w:rPr>
        <w:tab/>
      </w:r>
      <w:r w:rsidR="0091202B">
        <w:rPr>
          <w:b/>
          <w:bCs/>
        </w:rPr>
        <w:t>and documentation provided by</w:t>
      </w:r>
      <w:r w:rsidR="00D04B50">
        <w:rPr>
          <w:b/>
          <w:bCs/>
        </w:rPr>
        <w:t xml:space="preserve"> the ITU and</w:t>
      </w:r>
      <w:r w:rsidR="0091202B">
        <w:rPr>
          <w:b/>
          <w:bCs/>
        </w:rPr>
        <w:t xml:space="preserve"> national regulators</w:t>
      </w:r>
      <w:r w:rsidR="0000121D">
        <w:rPr>
          <w:b/>
          <w:bCs/>
        </w:rPr>
        <w:t xml:space="preserve"> for the broadcasting service</w:t>
      </w:r>
      <w:r w:rsidR="0091202B">
        <w:rPr>
          <w:b/>
          <w:bCs/>
        </w:rPr>
        <w:t xml:space="preserve">.  </w:t>
      </w:r>
    </w:p>
    <w:p w14:paraId="7939F3DA" w14:textId="72DE3040" w:rsidR="00CA585B" w:rsidRPr="005203CE" w:rsidRDefault="0091202B" w:rsidP="000A5A2B">
      <w:pPr>
        <w:pStyle w:val="Ttulo1"/>
        <w:jc w:val="both"/>
      </w:pPr>
      <w:r>
        <w:t>Summary</w:t>
      </w:r>
    </w:p>
    <w:p w14:paraId="3C7E029D" w14:textId="21E755B5" w:rsidR="00F51227" w:rsidRPr="00F51227" w:rsidRDefault="00F51227" w:rsidP="000A5A2B">
      <w:pPr>
        <w:jc w:val="both"/>
      </w:pPr>
      <w:r>
        <w:t>Based on the discussion the following is proposed to achieve the objectives of the WI:</w:t>
      </w:r>
    </w:p>
    <w:p w14:paraId="4643E98B" w14:textId="5D42B446" w:rsidR="00C06330" w:rsidRDefault="00C06330" w:rsidP="000A5A2B">
      <w:pPr>
        <w:jc w:val="both"/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1</w:t>
      </w:r>
      <w:r w:rsidRPr="00985367">
        <w:rPr>
          <w:b/>
          <w:bCs/>
        </w:rPr>
        <w:t>:</w:t>
      </w:r>
      <w:r>
        <w:rPr>
          <w:b/>
          <w:bCs/>
        </w:rPr>
        <w:tab/>
        <w:t>RAN4 to define a new band type for independent downlink-only transmissions.</w:t>
      </w:r>
    </w:p>
    <w:p w14:paraId="396B3B17" w14:textId="2D361BAC" w:rsidR="00F51227" w:rsidRDefault="0091202B" w:rsidP="000A5A2B">
      <w:pPr>
        <w:jc w:val="both"/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2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define a band for LTE based 5G Terrestrial Broadcast covering the spectrum range </w:t>
      </w:r>
      <w:r>
        <w:rPr>
          <w:b/>
          <w:bCs/>
        </w:rPr>
        <w:tab/>
      </w:r>
      <w:r>
        <w:rPr>
          <w:b/>
          <w:bCs/>
        </w:rPr>
        <w:tab/>
        <w:t>470 – 698 MHz to be used in terms of 6, 7 or 8 MHz carrier bandwidth.</w:t>
      </w:r>
    </w:p>
    <w:p w14:paraId="52D02942" w14:textId="11DF1DD2" w:rsidR="00F93CE6" w:rsidRDefault="00F93CE6" w:rsidP="000A5A2B">
      <w:pPr>
        <w:jc w:val="both"/>
      </w:pPr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3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re-use </w:t>
      </w:r>
      <w:r w:rsidR="0000121D">
        <w:rPr>
          <w:b/>
          <w:bCs/>
        </w:rPr>
        <w:t>BS req</w:t>
      </w:r>
      <w:r>
        <w:rPr>
          <w:b/>
          <w:bCs/>
        </w:rPr>
        <w:t xml:space="preserve">uirements as provided in existing regulatory agreements </w:t>
      </w:r>
      <w:r>
        <w:rPr>
          <w:b/>
          <w:bCs/>
        </w:rPr>
        <w:tab/>
      </w:r>
      <w:r>
        <w:rPr>
          <w:b/>
          <w:bCs/>
        </w:rPr>
        <w:tab/>
      </w:r>
      <w:r w:rsidR="0000121D">
        <w:rPr>
          <w:b/>
          <w:bCs/>
        </w:rPr>
        <w:tab/>
      </w:r>
      <w:r w:rsidR="0000121D">
        <w:rPr>
          <w:b/>
          <w:bCs/>
        </w:rPr>
        <w:tab/>
      </w:r>
      <w:r>
        <w:rPr>
          <w:b/>
          <w:bCs/>
        </w:rPr>
        <w:t xml:space="preserve">and documentation provided by </w:t>
      </w:r>
      <w:r w:rsidR="0000121D">
        <w:rPr>
          <w:b/>
          <w:bCs/>
        </w:rPr>
        <w:t xml:space="preserve">the </w:t>
      </w:r>
      <w:r w:rsidR="00FC1F0E">
        <w:rPr>
          <w:b/>
          <w:bCs/>
        </w:rPr>
        <w:t xml:space="preserve">ITU and </w:t>
      </w:r>
      <w:r>
        <w:rPr>
          <w:b/>
          <w:bCs/>
        </w:rPr>
        <w:t>national regulators</w:t>
      </w:r>
      <w:r w:rsidR="0000121D">
        <w:rPr>
          <w:b/>
          <w:bCs/>
        </w:rPr>
        <w:t xml:space="preserve"> for the broadcasting service</w:t>
      </w:r>
      <w:r>
        <w:rPr>
          <w:b/>
          <w:bCs/>
        </w:rPr>
        <w:t xml:space="preserve">.  </w:t>
      </w:r>
    </w:p>
    <w:p w14:paraId="11D8DF26" w14:textId="3349865B" w:rsidR="007018F3" w:rsidRDefault="007018F3" w:rsidP="000A5A2B">
      <w:pPr>
        <w:pStyle w:val="Ttulo1"/>
        <w:jc w:val="both"/>
      </w:pPr>
      <w:r>
        <w:t>References</w:t>
      </w:r>
    </w:p>
    <w:p w14:paraId="136B476F" w14:textId="3E461119" w:rsidR="00EC43BE" w:rsidRDefault="007018F3" w:rsidP="000A5A2B">
      <w:pPr>
        <w:pStyle w:val="B1"/>
        <w:jc w:val="both"/>
      </w:pPr>
      <w:r>
        <w:t>[1]</w:t>
      </w:r>
      <w:r>
        <w:tab/>
      </w:r>
      <w:r w:rsidR="00E35F58" w:rsidRPr="00E35F58">
        <w:t>RP-220518</w:t>
      </w:r>
      <w:r w:rsidR="00377211">
        <w:t>, “</w:t>
      </w:r>
      <w:r w:rsidR="004823A8" w:rsidRPr="004823A8">
        <w:t>Revised WID: New bands and bandwidth allocation for LTE based 5G terrestrial broadcast - part 2</w:t>
      </w:r>
      <w:r w:rsidR="00377211">
        <w:t>”</w:t>
      </w:r>
      <w:r w:rsidR="00632509">
        <w:t xml:space="preserve">, </w:t>
      </w:r>
      <w:r w:rsidR="00587DB6" w:rsidRPr="00587DB6">
        <w:t>EBU, Qualcomm</w:t>
      </w:r>
      <w:r w:rsidR="00B261DD" w:rsidRPr="00B261DD">
        <w:t>.</w:t>
      </w:r>
      <w:r w:rsidR="00B261DD">
        <w:t xml:space="preserve">, </w:t>
      </w:r>
      <w:r w:rsidR="00C576AE" w:rsidRPr="00C576AE">
        <w:t>3GPP TSG RAN Meeting #9</w:t>
      </w:r>
      <w:r w:rsidR="004A7555">
        <w:t>5e</w:t>
      </w:r>
      <w:r w:rsidR="00C576AE">
        <w:t xml:space="preserve">, </w:t>
      </w:r>
      <w:r w:rsidR="00175FA0" w:rsidRPr="00175FA0">
        <w:t>Electronic Meeting, March 17 - 23, 2022</w:t>
      </w:r>
    </w:p>
    <w:p w14:paraId="23F831CF" w14:textId="427B7F26" w:rsidR="008E05BF" w:rsidRDefault="00414B0A" w:rsidP="000A5A2B">
      <w:pPr>
        <w:pStyle w:val="B1"/>
        <w:jc w:val="both"/>
      </w:pPr>
      <w:r>
        <w:t>[2</w:t>
      </w:r>
      <w:r w:rsidR="00106F7A">
        <w:t>]</w:t>
      </w:r>
      <w:r w:rsidR="000A5A2B" w:rsidRPr="000A5A2B">
        <w:t xml:space="preserve"> </w:t>
      </w:r>
      <w:hyperlink r:id="rId13" w:history="1">
        <w:r w:rsidR="008E05BF" w:rsidRPr="00A60697">
          <w:rPr>
            <w:rStyle w:val="Hipervnculo"/>
          </w:rPr>
          <w:t>https://www.cellnex.com/</w:t>
        </w:r>
      </w:hyperlink>
    </w:p>
    <w:p w14:paraId="60CE852E" w14:textId="77777777" w:rsidR="008E05BF" w:rsidRPr="008E05BF" w:rsidRDefault="009C3810" w:rsidP="008E05BF">
      <w:pPr>
        <w:pStyle w:val="B1"/>
      </w:pPr>
      <w:r w:rsidRPr="008E05BF">
        <w:lastRenderedPageBreak/>
        <w:t>[</w:t>
      </w:r>
      <w:r w:rsidR="008E05BF" w:rsidRPr="008E05BF">
        <w:t>3</w:t>
      </w:r>
      <w:r w:rsidRPr="008E05BF">
        <w:t xml:space="preserve">] </w:t>
      </w:r>
      <w:hyperlink r:id="rId14" w:history="1">
        <w:r w:rsidR="008E05BF" w:rsidRPr="008E05BF">
          <w:rPr>
            <w:rStyle w:val="Hipervnculo"/>
          </w:rPr>
          <w:t>https://www.itu.int/pub/R-ACT-RRC.14-2006/en</w:t>
        </w:r>
      </w:hyperlink>
    </w:p>
    <w:p w14:paraId="3784A80B" w14:textId="1A1342A8" w:rsidR="00417727" w:rsidRPr="008E05BF" w:rsidRDefault="00417727" w:rsidP="000A5A2B">
      <w:pPr>
        <w:pStyle w:val="B1"/>
        <w:jc w:val="both"/>
        <w:rPr>
          <w:rStyle w:val="Hipervnculo"/>
        </w:rPr>
      </w:pPr>
      <w:r w:rsidRPr="008E05BF">
        <w:t>[</w:t>
      </w:r>
      <w:r w:rsidR="008E05BF" w:rsidRPr="008E05BF">
        <w:t>4</w:t>
      </w:r>
      <w:r w:rsidRPr="008E05BF">
        <w:t xml:space="preserve">] </w:t>
      </w:r>
      <w:hyperlink r:id="rId15" w:history="1">
        <w:r w:rsidR="00C45E7F" w:rsidRPr="008E05BF">
          <w:rPr>
            <w:rStyle w:val="Hipervnculo"/>
          </w:rPr>
          <w:t>https://www.etsi.org/deliver/etsi_en/302200_302299/302296/02.02.00_20/en_302296v020200a.pdf</w:t>
        </w:r>
      </w:hyperlink>
    </w:p>
    <w:p w14:paraId="6FD42038" w14:textId="35BD3C2E" w:rsidR="00CB63D4" w:rsidRPr="00A36986" w:rsidRDefault="00CB63D4" w:rsidP="000A5A2B">
      <w:pPr>
        <w:pStyle w:val="B1"/>
        <w:jc w:val="both"/>
      </w:pPr>
      <w:r w:rsidRPr="00A36986">
        <w:t>[</w:t>
      </w:r>
      <w:r w:rsidR="008E05BF" w:rsidRPr="00A36986">
        <w:t>5</w:t>
      </w:r>
      <w:r w:rsidRPr="00A36986">
        <w:t>] Title 47 CFR 73.622, Digital television table of allotments, FCC, United States</w:t>
      </w:r>
    </w:p>
    <w:p w14:paraId="454A7CD9" w14:textId="4E3E76B7" w:rsidR="00CB63D4" w:rsidRPr="008E05BF" w:rsidRDefault="00CB63D4" w:rsidP="000A5A2B">
      <w:pPr>
        <w:pStyle w:val="B1"/>
        <w:jc w:val="both"/>
        <w:rPr>
          <w:lang w:val="es-ES"/>
        </w:rPr>
      </w:pPr>
      <w:r w:rsidRPr="00A36986">
        <w:rPr>
          <w:lang w:val="es-ES"/>
        </w:rPr>
        <w:t>[</w:t>
      </w:r>
      <w:r w:rsidR="008E05BF" w:rsidRPr="00A36986">
        <w:rPr>
          <w:lang w:val="es-ES"/>
        </w:rPr>
        <w:t>6</w:t>
      </w:r>
      <w:r w:rsidRPr="00A36986">
        <w:rPr>
          <w:lang w:val="es-ES"/>
        </w:rPr>
        <w:t xml:space="preserve">] </w:t>
      </w:r>
      <w:r w:rsidRPr="008E05BF">
        <w:rPr>
          <w:lang w:val="es-ES"/>
        </w:rPr>
        <w:t xml:space="preserve">ABNT 15601, NORMA BRASILEÑA, Televisión digital terrestre — Sistema de transmisión ISDB-Tb, </w:t>
      </w:r>
      <w:proofErr w:type="spellStart"/>
      <w:r w:rsidRPr="008E05BF">
        <w:rPr>
          <w:lang w:val="es-ES"/>
        </w:rPr>
        <w:t>Anatel</w:t>
      </w:r>
      <w:proofErr w:type="spellEnd"/>
      <w:r w:rsidRPr="008E05BF">
        <w:rPr>
          <w:lang w:val="es-ES"/>
        </w:rPr>
        <w:t xml:space="preserve">, </w:t>
      </w:r>
      <w:proofErr w:type="spellStart"/>
      <w:r w:rsidRPr="008E05BF">
        <w:rPr>
          <w:lang w:val="es-ES"/>
        </w:rPr>
        <w:t>Brazil</w:t>
      </w:r>
      <w:proofErr w:type="spellEnd"/>
      <w:r w:rsidRPr="008E05BF">
        <w:rPr>
          <w:lang w:val="es-ES"/>
        </w:rPr>
        <w:t xml:space="preserve"> </w:t>
      </w:r>
    </w:p>
    <w:p w14:paraId="0745FC68" w14:textId="6F4CFC39" w:rsidR="009C3810" w:rsidRPr="00A36986" w:rsidRDefault="00CB63D4" w:rsidP="008E05BF">
      <w:pPr>
        <w:pStyle w:val="B1"/>
        <w:jc w:val="both"/>
      </w:pPr>
      <w:r w:rsidRPr="00A36986">
        <w:t>[</w:t>
      </w:r>
      <w:r w:rsidR="008E05BF" w:rsidRPr="00A36986">
        <w:t>7</w:t>
      </w:r>
      <w:r w:rsidRPr="00A36986">
        <w:t>]</w:t>
      </w:r>
      <w:r w:rsidR="008E05BF" w:rsidRPr="00A36986">
        <w:t xml:space="preserve"> </w:t>
      </w:r>
      <w:r w:rsidRPr="00A36986">
        <w:t>GB20600-2006 [8], Framing structure, channel coding and modulation for digital television terrestrial broadcasting system, National Radio and Television Standardization Technical Committee, People’s Republic of China</w:t>
      </w:r>
    </w:p>
    <w:sectPr w:rsidR="009C3810" w:rsidRPr="00A3698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9E83" w14:textId="77777777" w:rsidR="00ED307C" w:rsidRDefault="00ED307C" w:rsidP="009C3810">
      <w:pPr>
        <w:spacing w:after="0"/>
      </w:pPr>
      <w:r>
        <w:separator/>
      </w:r>
    </w:p>
  </w:endnote>
  <w:endnote w:type="continuationSeparator" w:id="0">
    <w:p w14:paraId="0F462AC4" w14:textId="77777777" w:rsidR="00ED307C" w:rsidRDefault="00ED307C" w:rsidP="009C3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B3CC4" w14:textId="77777777" w:rsidR="00ED307C" w:rsidRDefault="00ED307C" w:rsidP="009C3810">
      <w:pPr>
        <w:spacing w:after="0"/>
      </w:pPr>
      <w:r>
        <w:separator/>
      </w:r>
    </w:p>
  </w:footnote>
  <w:footnote w:type="continuationSeparator" w:id="0">
    <w:p w14:paraId="01132782" w14:textId="77777777" w:rsidR="00ED307C" w:rsidRDefault="00ED307C" w:rsidP="009C3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6A265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E8A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AA17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9415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25EC1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F97D0C"/>
    <w:multiLevelType w:val="hybridMultilevel"/>
    <w:tmpl w:val="F50A1B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13"/>
  </w:num>
  <w:num w:numId="10">
    <w:abstractNumId w:val="8"/>
  </w:num>
  <w:num w:numId="11">
    <w:abstractNumId w:val="9"/>
  </w:num>
  <w:num w:numId="12">
    <w:abstractNumId w:val="9"/>
  </w:num>
  <w:num w:numId="13">
    <w:abstractNumId w:val="4"/>
  </w:num>
  <w:num w:numId="14">
    <w:abstractNumId w:val="12"/>
  </w:num>
  <w:num w:numId="1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21D"/>
    <w:rsid w:val="00002B95"/>
    <w:rsid w:val="000035D7"/>
    <w:rsid w:val="000042E1"/>
    <w:rsid w:val="000046A6"/>
    <w:rsid w:val="00004FC4"/>
    <w:rsid w:val="00007F05"/>
    <w:rsid w:val="0001019D"/>
    <w:rsid w:val="00012A34"/>
    <w:rsid w:val="00012A7B"/>
    <w:rsid w:val="0001362F"/>
    <w:rsid w:val="00014A9E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31D75"/>
    <w:rsid w:val="000323CD"/>
    <w:rsid w:val="00032669"/>
    <w:rsid w:val="000339AA"/>
    <w:rsid w:val="000368E9"/>
    <w:rsid w:val="00037A84"/>
    <w:rsid w:val="0004180B"/>
    <w:rsid w:val="000428D1"/>
    <w:rsid w:val="00044027"/>
    <w:rsid w:val="000454A9"/>
    <w:rsid w:val="00046DDD"/>
    <w:rsid w:val="00047203"/>
    <w:rsid w:val="0004772E"/>
    <w:rsid w:val="00047781"/>
    <w:rsid w:val="00050807"/>
    <w:rsid w:val="000513F8"/>
    <w:rsid w:val="000514BA"/>
    <w:rsid w:val="000524CA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362"/>
    <w:rsid w:val="00064C6C"/>
    <w:rsid w:val="00064D25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1A57"/>
    <w:rsid w:val="000A210A"/>
    <w:rsid w:val="000A2940"/>
    <w:rsid w:val="000A3E2A"/>
    <w:rsid w:val="000A3F28"/>
    <w:rsid w:val="000A5016"/>
    <w:rsid w:val="000A567D"/>
    <w:rsid w:val="000A56D4"/>
    <w:rsid w:val="000A5A2B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3EB6"/>
    <w:rsid w:val="0010482F"/>
    <w:rsid w:val="00104902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E1A"/>
    <w:rsid w:val="00127A2B"/>
    <w:rsid w:val="00130605"/>
    <w:rsid w:val="00131AFF"/>
    <w:rsid w:val="00131C7C"/>
    <w:rsid w:val="00132CD5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C9F"/>
    <w:rsid w:val="00156FF8"/>
    <w:rsid w:val="001573DA"/>
    <w:rsid w:val="001600C2"/>
    <w:rsid w:val="001614BB"/>
    <w:rsid w:val="00161C73"/>
    <w:rsid w:val="0016323F"/>
    <w:rsid w:val="00164A0D"/>
    <w:rsid w:val="00166494"/>
    <w:rsid w:val="00166E70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BC9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3AE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8DA"/>
    <w:rsid w:val="001E5EAD"/>
    <w:rsid w:val="001E65C4"/>
    <w:rsid w:val="001E67A4"/>
    <w:rsid w:val="001F0314"/>
    <w:rsid w:val="001F0BD6"/>
    <w:rsid w:val="001F12F9"/>
    <w:rsid w:val="001F1B49"/>
    <w:rsid w:val="001F39B2"/>
    <w:rsid w:val="001F54B5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2D34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755"/>
    <w:rsid w:val="00224AB3"/>
    <w:rsid w:val="00224E7C"/>
    <w:rsid w:val="00225AD9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6127"/>
    <w:rsid w:val="0027699C"/>
    <w:rsid w:val="002772B7"/>
    <w:rsid w:val="0028020B"/>
    <w:rsid w:val="00281272"/>
    <w:rsid w:val="00281315"/>
    <w:rsid w:val="002815EC"/>
    <w:rsid w:val="00281C1F"/>
    <w:rsid w:val="002820E8"/>
    <w:rsid w:val="00282EB5"/>
    <w:rsid w:val="00283688"/>
    <w:rsid w:val="00283EF3"/>
    <w:rsid w:val="002849C1"/>
    <w:rsid w:val="00285360"/>
    <w:rsid w:val="00286ACA"/>
    <w:rsid w:val="00287649"/>
    <w:rsid w:val="00287F7B"/>
    <w:rsid w:val="00290019"/>
    <w:rsid w:val="002927A0"/>
    <w:rsid w:val="00292875"/>
    <w:rsid w:val="00292D98"/>
    <w:rsid w:val="00292FFA"/>
    <w:rsid w:val="00293E95"/>
    <w:rsid w:val="002941AB"/>
    <w:rsid w:val="0029471E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062B"/>
    <w:rsid w:val="002D2D80"/>
    <w:rsid w:val="002D2EEF"/>
    <w:rsid w:val="002D486C"/>
    <w:rsid w:val="002D4CC7"/>
    <w:rsid w:val="002D4FBE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E7D7C"/>
    <w:rsid w:val="002F0BA8"/>
    <w:rsid w:val="002F1C8C"/>
    <w:rsid w:val="002F28ED"/>
    <w:rsid w:val="002F3968"/>
    <w:rsid w:val="002F51AA"/>
    <w:rsid w:val="002F58C2"/>
    <w:rsid w:val="002F59D6"/>
    <w:rsid w:val="002F6DC2"/>
    <w:rsid w:val="0030050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D8E"/>
    <w:rsid w:val="00337718"/>
    <w:rsid w:val="00340BD0"/>
    <w:rsid w:val="00340F07"/>
    <w:rsid w:val="00341516"/>
    <w:rsid w:val="0034206B"/>
    <w:rsid w:val="003424C0"/>
    <w:rsid w:val="003430BD"/>
    <w:rsid w:val="0034635A"/>
    <w:rsid w:val="00346C62"/>
    <w:rsid w:val="003476B3"/>
    <w:rsid w:val="00347BB5"/>
    <w:rsid w:val="003509D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D5A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3637"/>
    <w:rsid w:val="003A4125"/>
    <w:rsid w:val="003A42FF"/>
    <w:rsid w:val="003A43B2"/>
    <w:rsid w:val="003A4432"/>
    <w:rsid w:val="003A476E"/>
    <w:rsid w:val="003A4CD3"/>
    <w:rsid w:val="003A4D09"/>
    <w:rsid w:val="003A6C9D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AD1"/>
    <w:rsid w:val="00411D59"/>
    <w:rsid w:val="00411F98"/>
    <w:rsid w:val="004127B2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727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4FE5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798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FE1"/>
    <w:rsid w:val="0062572C"/>
    <w:rsid w:val="00625932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66C"/>
    <w:rsid w:val="006A3DD3"/>
    <w:rsid w:val="006A5015"/>
    <w:rsid w:val="006A510F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78AA"/>
    <w:rsid w:val="006D0115"/>
    <w:rsid w:val="006D0387"/>
    <w:rsid w:val="006D244C"/>
    <w:rsid w:val="006D312F"/>
    <w:rsid w:val="006D3FD4"/>
    <w:rsid w:val="006D4F66"/>
    <w:rsid w:val="006D5E7B"/>
    <w:rsid w:val="006D67CA"/>
    <w:rsid w:val="006D6CDF"/>
    <w:rsid w:val="006E06A3"/>
    <w:rsid w:val="006E0F90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2300"/>
    <w:rsid w:val="006F35B4"/>
    <w:rsid w:val="006F3F1A"/>
    <w:rsid w:val="006F5898"/>
    <w:rsid w:val="006F5CDE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295C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5BF8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E51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34AD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B00"/>
    <w:rsid w:val="007D0000"/>
    <w:rsid w:val="007D0CF8"/>
    <w:rsid w:val="007D22FB"/>
    <w:rsid w:val="007D3C2D"/>
    <w:rsid w:val="007D5108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53EB"/>
    <w:rsid w:val="007F5687"/>
    <w:rsid w:val="007F5A2D"/>
    <w:rsid w:val="007F758E"/>
    <w:rsid w:val="00801199"/>
    <w:rsid w:val="008013A1"/>
    <w:rsid w:val="0080320A"/>
    <w:rsid w:val="00804F41"/>
    <w:rsid w:val="008059F8"/>
    <w:rsid w:val="00805A8B"/>
    <w:rsid w:val="008066AD"/>
    <w:rsid w:val="00806A95"/>
    <w:rsid w:val="008075AB"/>
    <w:rsid w:val="008076D6"/>
    <w:rsid w:val="00807796"/>
    <w:rsid w:val="00807952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7EA6"/>
    <w:rsid w:val="00830C2E"/>
    <w:rsid w:val="0083147D"/>
    <w:rsid w:val="008344EC"/>
    <w:rsid w:val="00834633"/>
    <w:rsid w:val="00835632"/>
    <w:rsid w:val="00835AEA"/>
    <w:rsid w:val="00835D30"/>
    <w:rsid w:val="008360D5"/>
    <w:rsid w:val="00836B55"/>
    <w:rsid w:val="00837E78"/>
    <w:rsid w:val="00840BDF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28B2"/>
    <w:rsid w:val="008831E6"/>
    <w:rsid w:val="00883CA6"/>
    <w:rsid w:val="008852A2"/>
    <w:rsid w:val="008855A4"/>
    <w:rsid w:val="00885A35"/>
    <w:rsid w:val="00885E3A"/>
    <w:rsid w:val="00886969"/>
    <w:rsid w:val="00890B41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AF3"/>
    <w:rsid w:val="008A5B17"/>
    <w:rsid w:val="008A60F3"/>
    <w:rsid w:val="008A659A"/>
    <w:rsid w:val="008A74C9"/>
    <w:rsid w:val="008A75AC"/>
    <w:rsid w:val="008B0DBC"/>
    <w:rsid w:val="008B0F04"/>
    <w:rsid w:val="008B0FCF"/>
    <w:rsid w:val="008B1E0A"/>
    <w:rsid w:val="008B45B5"/>
    <w:rsid w:val="008B53CD"/>
    <w:rsid w:val="008B5883"/>
    <w:rsid w:val="008B5B7D"/>
    <w:rsid w:val="008B78D2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5BF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02B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17A"/>
    <w:rsid w:val="0092542D"/>
    <w:rsid w:val="00926A4B"/>
    <w:rsid w:val="00926A90"/>
    <w:rsid w:val="00926DE5"/>
    <w:rsid w:val="009306AD"/>
    <w:rsid w:val="00931497"/>
    <w:rsid w:val="00931B39"/>
    <w:rsid w:val="00932943"/>
    <w:rsid w:val="009333F6"/>
    <w:rsid w:val="009334BF"/>
    <w:rsid w:val="00934028"/>
    <w:rsid w:val="0093408A"/>
    <w:rsid w:val="00934DE1"/>
    <w:rsid w:val="00934DEE"/>
    <w:rsid w:val="00935813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54F"/>
    <w:rsid w:val="00960F15"/>
    <w:rsid w:val="009614E9"/>
    <w:rsid w:val="00961DED"/>
    <w:rsid w:val="00962566"/>
    <w:rsid w:val="00962CEF"/>
    <w:rsid w:val="00963B1C"/>
    <w:rsid w:val="00964211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810"/>
    <w:rsid w:val="009C3985"/>
    <w:rsid w:val="009C39D8"/>
    <w:rsid w:val="009C40F5"/>
    <w:rsid w:val="009C4322"/>
    <w:rsid w:val="009C4692"/>
    <w:rsid w:val="009C6EAA"/>
    <w:rsid w:val="009D0EDA"/>
    <w:rsid w:val="009D1483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F5A"/>
    <w:rsid w:val="00A06682"/>
    <w:rsid w:val="00A07262"/>
    <w:rsid w:val="00A10D42"/>
    <w:rsid w:val="00A11038"/>
    <w:rsid w:val="00A11459"/>
    <w:rsid w:val="00A116A0"/>
    <w:rsid w:val="00A11A45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C41"/>
    <w:rsid w:val="00A15C70"/>
    <w:rsid w:val="00A1603D"/>
    <w:rsid w:val="00A167BE"/>
    <w:rsid w:val="00A16CB8"/>
    <w:rsid w:val="00A17836"/>
    <w:rsid w:val="00A17D67"/>
    <w:rsid w:val="00A22D40"/>
    <w:rsid w:val="00A236E4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6986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6496"/>
    <w:rsid w:val="00A564DD"/>
    <w:rsid w:val="00A57AD8"/>
    <w:rsid w:val="00A57D4D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59B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3EB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10065"/>
    <w:rsid w:val="00B100E5"/>
    <w:rsid w:val="00B10A08"/>
    <w:rsid w:val="00B113ED"/>
    <w:rsid w:val="00B12677"/>
    <w:rsid w:val="00B13300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7C35"/>
    <w:rsid w:val="00B71754"/>
    <w:rsid w:val="00B71E29"/>
    <w:rsid w:val="00B72694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182"/>
    <w:rsid w:val="00BA1993"/>
    <w:rsid w:val="00BA35E4"/>
    <w:rsid w:val="00BA3C61"/>
    <w:rsid w:val="00BA4DF2"/>
    <w:rsid w:val="00BA4FF3"/>
    <w:rsid w:val="00BA6DB0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1BC"/>
    <w:rsid w:val="00BB67C0"/>
    <w:rsid w:val="00BB7568"/>
    <w:rsid w:val="00BC02E2"/>
    <w:rsid w:val="00BC08B8"/>
    <w:rsid w:val="00BC0AD4"/>
    <w:rsid w:val="00BC1015"/>
    <w:rsid w:val="00BC1160"/>
    <w:rsid w:val="00BC1273"/>
    <w:rsid w:val="00BC2D2F"/>
    <w:rsid w:val="00BC4907"/>
    <w:rsid w:val="00BC64F6"/>
    <w:rsid w:val="00BC6B9C"/>
    <w:rsid w:val="00BC6E33"/>
    <w:rsid w:val="00BD1344"/>
    <w:rsid w:val="00BD3C3B"/>
    <w:rsid w:val="00BD431B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330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3014B"/>
    <w:rsid w:val="00C30688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3BB6"/>
    <w:rsid w:val="00C43BC5"/>
    <w:rsid w:val="00C4455B"/>
    <w:rsid w:val="00C44D20"/>
    <w:rsid w:val="00C45431"/>
    <w:rsid w:val="00C45E7F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D44"/>
    <w:rsid w:val="00C9521B"/>
    <w:rsid w:val="00C95C33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3D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4B50"/>
    <w:rsid w:val="00D0674B"/>
    <w:rsid w:val="00D0707D"/>
    <w:rsid w:val="00D076BA"/>
    <w:rsid w:val="00D07EBE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20A9"/>
    <w:rsid w:val="00D22E26"/>
    <w:rsid w:val="00D23D9A"/>
    <w:rsid w:val="00D247AC"/>
    <w:rsid w:val="00D24861"/>
    <w:rsid w:val="00D2529E"/>
    <w:rsid w:val="00D25C78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A6D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3470"/>
    <w:rsid w:val="00DA40CF"/>
    <w:rsid w:val="00DA4A77"/>
    <w:rsid w:val="00DA529C"/>
    <w:rsid w:val="00DA5D84"/>
    <w:rsid w:val="00DA6FC2"/>
    <w:rsid w:val="00DA772F"/>
    <w:rsid w:val="00DB0851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8B9"/>
    <w:rsid w:val="00DE1D7C"/>
    <w:rsid w:val="00DE228D"/>
    <w:rsid w:val="00DE2703"/>
    <w:rsid w:val="00DE3375"/>
    <w:rsid w:val="00DE3432"/>
    <w:rsid w:val="00DE6416"/>
    <w:rsid w:val="00DF011D"/>
    <w:rsid w:val="00DF20C1"/>
    <w:rsid w:val="00DF39DE"/>
    <w:rsid w:val="00DF46AC"/>
    <w:rsid w:val="00DF46FA"/>
    <w:rsid w:val="00DF4964"/>
    <w:rsid w:val="00DF629E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67B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223E"/>
    <w:rsid w:val="00ED2C24"/>
    <w:rsid w:val="00ED307C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C6B"/>
    <w:rsid w:val="00EE6D67"/>
    <w:rsid w:val="00EE70DB"/>
    <w:rsid w:val="00EE759B"/>
    <w:rsid w:val="00EE795F"/>
    <w:rsid w:val="00EF08C9"/>
    <w:rsid w:val="00EF0BCF"/>
    <w:rsid w:val="00EF1E99"/>
    <w:rsid w:val="00EF291A"/>
    <w:rsid w:val="00EF4DBE"/>
    <w:rsid w:val="00EF525D"/>
    <w:rsid w:val="00EF60CC"/>
    <w:rsid w:val="00EF65A7"/>
    <w:rsid w:val="00EF693C"/>
    <w:rsid w:val="00EF7949"/>
    <w:rsid w:val="00F00686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227"/>
    <w:rsid w:val="00F5136E"/>
    <w:rsid w:val="00F515E6"/>
    <w:rsid w:val="00F51864"/>
    <w:rsid w:val="00F5224C"/>
    <w:rsid w:val="00F527F9"/>
    <w:rsid w:val="00F541BA"/>
    <w:rsid w:val="00F56263"/>
    <w:rsid w:val="00F566E7"/>
    <w:rsid w:val="00F56FF3"/>
    <w:rsid w:val="00F57CFE"/>
    <w:rsid w:val="00F6029A"/>
    <w:rsid w:val="00F60E13"/>
    <w:rsid w:val="00F60E8E"/>
    <w:rsid w:val="00F61759"/>
    <w:rsid w:val="00F62A38"/>
    <w:rsid w:val="00F64D1B"/>
    <w:rsid w:val="00F6685E"/>
    <w:rsid w:val="00F70BAE"/>
    <w:rsid w:val="00F7223E"/>
    <w:rsid w:val="00F72902"/>
    <w:rsid w:val="00F7303B"/>
    <w:rsid w:val="00F74187"/>
    <w:rsid w:val="00F743BC"/>
    <w:rsid w:val="00F75883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3CE6"/>
    <w:rsid w:val="00F94ED5"/>
    <w:rsid w:val="00F94EE2"/>
    <w:rsid w:val="00F95ED1"/>
    <w:rsid w:val="00F95F05"/>
    <w:rsid w:val="00F97180"/>
    <w:rsid w:val="00FA01E2"/>
    <w:rsid w:val="00FA0787"/>
    <w:rsid w:val="00FA15D3"/>
    <w:rsid w:val="00FA162E"/>
    <w:rsid w:val="00FA1A88"/>
    <w:rsid w:val="00FA31F5"/>
    <w:rsid w:val="00FA3C0B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0E"/>
    <w:rsid w:val="00FC1F62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12B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B2C"/>
    <w:rsid w:val="00FE6F16"/>
    <w:rsid w:val="00FE7048"/>
    <w:rsid w:val="00FE77B1"/>
    <w:rsid w:val="00FE78F2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Ttulo2">
    <w:name w:val="heading 2"/>
    <w:basedOn w:val="Ttulo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autoRedefine/>
    <w:semiHidden/>
    <w:pPr>
      <w:spacing w:before="180"/>
      <w:ind w:left="2693" w:hanging="2693"/>
    </w:pPr>
    <w:rPr>
      <w:b/>
    </w:rPr>
  </w:style>
  <w:style w:type="paragraph" w:styleId="TD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DC5">
    <w:name w:val="toc 5"/>
    <w:basedOn w:val="TDC4"/>
    <w:autoRedefine/>
    <w:semiHidden/>
    <w:pPr>
      <w:ind w:left="1701" w:hanging="1701"/>
    </w:pPr>
  </w:style>
  <w:style w:type="paragraph" w:styleId="TDC4">
    <w:name w:val="toc 4"/>
    <w:basedOn w:val="TDC3"/>
    <w:autoRedefine/>
    <w:semiHidden/>
    <w:pPr>
      <w:ind w:left="1418" w:hanging="1418"/>
    </w:pPr>
  </w:style>
  <w:style w:type="paragraph" w:styleId="TDC3">
    <w:name w:val="toc 3"/>
    <w:basedOn w:val="TDC2"/>
    <w:autoRedefine/>
    <w:semiHidden/>
    <w:pPr>
      <w:ind w:left="1134" w:hanging="1134"/>
    </w:pPr>
  </w:style>
  <w:style w:type="paragraph" w:styleId="TDC2">
    <w:name w:val="toc 2"/>
    <w:basedOn w:val="TD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autoRedefine/>
    <w:semiHidden/>
    <w:pPr>
      <w:ind w:left="284"/>
    </w:pPr>
  </w:style>
  <w:style w:type="paragraph" w:styleId="ndice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styleId="Listaconnmeros2">
    <w:name w:val="List Number 2"/>
    <w:basedOn w:val="Listaconnmeros"/>
    <w:pPr>
      <w:ind w:left="851"/>
    </w:p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EncabezadoCar"/>
    <w:pPr>
      <w:widowControl w:val="0"/>
    </w:pPr>
    <w:rPr>
      <w:rFonts w:ascii="Arial" w:hAnsi="Arial"/>
      <w:b/>
      <w:noProof/>
      <w:sz w:val="18"/>
      <w:lang w:val="en-US" w:eastAsia="ko-KR"/>
    </w:rPr>
  </w:style>
  <w:style w:type="character" w:styleId="Refdenotaalpie">
    <w:name w:val="footnote reference"/>
    <w:semiHidden/>
    <w:rPr>
      <w:b/>
      <w:position w:val="6"/>
      <w:sz w:val="16"/>
    </w:rPr>
  </w:style>
  <w:style w:type="paragraph" w:styleId="Textonotapi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DC9">
    <w:name w:val="toc 9"/>
    <w:basedOn w:val="TD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DC6">
    <w:name w:val="toc 6"/>
    <w:basedOn w:val="TDC5"/>
    <w:next w:val="Normal"/>
    <w:autoRedefine/>
    <w:semiHidden/>
    <w:pPr>
      <w:ind w:left="1985" w:hanging="1985"/>
    </w:pPr>
  </w:style>
  <w:style w:type="paragraph" w:styleId="TDC7">
    <w:name w:val="toc 7"/>
    <w:basedOn w:val="TDC6"/>
    <w:next w:val="Normal"/>
    <w:autoRedefine/>
    <w:semiHidden/>
    <w:pPr>
      <w:ind w:left="2268" w:hanging="2268"/>
    </w:pPr>
  </w:style>
  <w:style w:type="paragraph" w:styleId="Listaconvietas2">
    <w:name w:val="List Bullet 2"/>
    <w:basedOn w:val="Listaconvietas"/>
    <w:autoRedefine/>
    <w:pPr>
      <w:ind w:left="851"/>
    </w:pPr>
  </w:style>
  <w:style w:type="paragraph" w:styleId="Listaconvietas3">
    <w:name w:val="List Bullet 3"/>
    <w:basedOn w:val="Listaconvietas2"/>
    <w:autoRedefine/>
    <w:pPr>
      <w:ind w:left="1135"/>
    </w:pPr>
  </w:style>
  <w:style w:type="paragraph" w:styleId="Listaconnmeros">
    <w:name w:val="List Number"/>
    <w:basedOn w:val="Lista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a2">
    <w:name w:val="List 2"/>
    <w:basedOn w:val="List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a3">
    <w:name w:val="List 3"/>
    <w:basedOn w:val="Lista2"/>
    <w:pPr>
      <w:ind w:left="1135"/>
    </w:pPr>
  </w:style>
  <w:style w:type="paragraph" w:styleId="Lista4">
    <w:name w:val="List 4"/>
    <w:basedOn w:val="Lista3"/>
    <w:pPr>
      <w:ind w:left="1418"/>
    </w:pPr>
  </w:style>
  <w:style w:type="paragraph" w:styleId="Lista5">
    <w:name w:val="List 5"/>
    <w:basedOn w:val="Lista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a">
    <w:name w:val="List"/>
    <w:basedOn w:val="Normal"/>
    <w:pPr>
      <w:ind w:left="568" w:hanging="284"/>
    </w:pPr>
  </w:style>
  <w:style w:type="paragraph" w:styleId="Listaconvietas">
    <w:name w:val="List Bullet"/>
    <w:basedOn w:val="Lista"/>
    <w:autoRedefine/>
  </w:style>
  <w:style w:type="paragraph" w:styleId="Listaconvietas4">
    <w:name w:val="List Bullet 4"/>
    <w:basedOn w:val="Listaconvietas3"/>
    <w:autoRedefine/>
    <w:pPr>
      <w:ind w:left="1418"/>
    </w:pPr>
  </w:style>
  <w:style w:type="paragraph" w:styleId="Listaconvietas5">
    <w:name w:val="List Bullet 5"/>
    <w:basedOn w:val="Listaconvietas4"/>
    <w:autoRedefine/>
    <w:pPr>
      <w:ind w:left="1702"/>
    </w:pPr>
  </w:style>
  <w:style w:type="paragraph" w:customStyle="1" w:styleId="B1">
    <w:name w:val="B1"/>
    <w:basedOn w:val="Lista"/>
    <w:link w:val="B1Char"/>
    <w:qFormat/>
  </w:style>
  <w:style w:type="paragraph" w:customStyle="1" w:styleId="B2">
    <w:name w:val="B2"/>
    <w:basedOn w:val="Lista2"/>
  </w:style>
  <w:style w:type="paragraph" w:customStyle="1" w:styleId="B3">
    <w:name w:val="B3"/>
    <w:basedOn w:val="Lista3"/>
  </w:style>
  <w:style w:type="paragraph" w:customStyle="1" w:styleId="B4">
    <w:name w:val="B4"/>
    <w:basedOn w:val="Lista4"/>
  </w:style>
  <w:style w:type="paragraph" w:customStyle="1" w:styleId="B5">
    <w:name w:val="B5"/>
    <w:basedOn w:val="Lista5"/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rsid w:val="000F7ECB"/>
    <w:rPr>
      <w:rFonts w:ascii="Arial" w:hAnsi="Arial"/>
      <w:b/>
      <w:noProof/>
      <w:sz w:val="18"/>
      <w:lang w:eastAsia="ko-KR" w:bidi="ar-SA"/>
    </w:rPr>
  </w:style>
  <w:style w:type="paragraph" w:styleId="Textocomentario">
    <w:name w:val="annotation text"/>
    <w:basedOn w:val="Normal"/>
    <w:link w:val="Textocomentario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TextocomentarioCar">
    <w:name w:val="Texto comentario Car"/>
    <w:link w:val="Textocomentario"/>
    <w:rsid w:val="000F7ECB"/>
    <w:rPr>
      <w:rFonts w:ascii="Arial" w:hAnsi="Arial"/>
      <w:lang w:eastAsia="en-US"/>
    </w:rPr>
  </w:style>
  <w:style w:type="character" w:styleId="Refdecomentario">
    <w:name w:val="annotation reference"/>
    <w:rsid w:val="000F7ECB"/>
    <w:rPr>
      <w:sz w:val="16"/>
    </w:rPr>
  </w:style>
  <w:style w:type="paragraph" w:styleId="Textodeglobo">
    <w:name w:val="Balloon Text"/>
    <w:basedOn w:val="Normal"/>
    <w:link w:val="TextodegloboC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xtodegloboCar">
    <w:name w:val="Texto de globo Car"/>
    <w:link w:val="Textodeglobo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Tablaconcuadrcula">
    <w:name w:val="Table Grid"/>
    <w:basedOn w:val="Tabla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suntodelcomentarioCar">
    <w:name w:val="Asunto del comentario Car"/>
    <w:link w:val="Asuntodelcomentario"/>
    <w:rsid w:val="006834CE"/>
    <w:rPr>
      <w:rFonts w:ascii="Arial" w:hAnsi="Arial"/>
      <w:b/>
      <w:bCs/>
      <w:lang w:val="en-GB" w:eastAsia="ko-KR"/>
    </w:rPr>
  </w:style>
  <w:style w:type="paragraph" w:styleId="Descripci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ipervnculo">
    <w:name w:val="Hyperlink"/>
    <w:rsid w:val="0038770D"/>
    <w:rPr>
      <w:color w:val="0563C1"/>
      <w:u w:val="single"/>
    </w:rPr>
  </w:style>
  <w:style w:type="character" w:styleId="Mencinsinresolver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Prrafodelista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PrrafodelistaC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PrrafodelistaCar">
    <w:name w:val="Párrafo de lista Car"/>
    <w:aliases w:val="- Bullets Car,목록 단락 Car,Lista1 Car,?? ?? Car,????? Car,???? Car,列出段落 Car,列出段落1 Car,中等深浅网格 1 - 着色 21 Car,¥¡¡¡¡ì¬º¥¹¥È¶ÎÂä Car,ÁÐ³ö¶ÎÂä Car,列表段落1 Car,—ño’i—Ž Car,¥ê¥¹¥È¶ÎÂä Car,列表段落 Car,1st level - Bullet List Paragraph Car,목록단락 Car"/>
    <w:link w:val="Prrafodelista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Hipervnculovisitado">
    <w:name w:val="FollowedHyperlink"/>
    <w:rsid w:val="00D314D4"/>
    <w:rPr>
      <w:color w:val="954F72"/>
      <w:u w:val="single"/>
    </w:rPr>
  </w:style>
  <w:style w:type="paragraph" w:styleId="Revisin">
    <w:name w:val="Revision"/>
    <w:hidden/>
    <w:uiPriority w:val="99"/>
    <w:semiHidden/>
    <w:rsid w:val="006A2BF9"/>
    <w:rPr>
      <w:lang w:val="en-GB" w:eastAsia="ko-KR"/>
    </w:rPr>
  </w:style>
  <w:style w:type="paragraph" w:customStyle="1" w:styleId="banner-paragraph">
    <w:name w:val="banner-paragraph"/>
    <w:basedOn w:val="Normal"/>
    <w:rsid w:val="000A5A2B"/>
    <w:pPr>
      <w:spacing w:before="100" w:beforeAutospacing="1" w:after="100" w:afterAutospacing="1"/>
    </w:pPr>
    <w:rPr>
      <w:sz w:val="24"/>
      <w:szCs w:val="24"/>
      <w:lang w:val="ca-ES" w:eastAsia="ca-ES"/>
    </w:rPr>
  </w:style>
  <w:style w:type="character" w:styleId="nfasis">
    <w:name w:val="Emphasis"/>
    <w:basedOn w:val="Fuentedeprrafopredeter"/>
    <w:uiPriority w:val="20"/>
    <w:qFormat/>
    <w:rsid w:val="000A5A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4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03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40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ellnex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ellnex.com/technologi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ellnex.com/solutions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en/302200_302299/302296/02.02.00_20/en_302296v020200a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pub/R-ACT-RRC.14-200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Pujol Huguet, Jaume</cp:lastModifiedBy>
  <cp:revision>4</cp:revision>
  <dcterms:created xsi:type="dcterms:W3CDTF">2022-08-09T07:59:00Z</dcterms:created>
  <dcterms:modified xsi:type="dcterms:W3CDTF">2022-08-09T13:48:00Z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